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3E" w:rsidRPr="00E3743E" w:rsidRDefault="00F430C1" w:rsidP="00E3743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E3743E" w:rsidRPr="00E3743E">
        <w:rPr>
          <w:b/>
          <w:bCs/>
          <w:color w:val="333333"/>
          <w:sz w:val="28"/>
          <w:szCs w:val="28"/>
        </w:rPr>
        <w:t>Добровольный отказ от преступления</w:t>
      </w:r>
    </w:p>
    <w:bookmarkEnd w:id="0"/>
    <w:p w:rsidR="00E3743E" w:rsidRPr="00E3743E" w:rsidRDefault="00E3743E" w:rsidP="00E3743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  <w:shd w:val="clear" w:color="auto" w:fill="FFFFFF"/>
        </w:rPr>
        <w:t>Под добровольным отказом от преступления следует понимать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Отказ от доведения преступления до конца должен быть добровольным и окончательным.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Соответственно, лицо не подлежит уголовной ответственности за преступление, если оно добровольно и окончательно отказалось от доведения этого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Вместе с тем, лицо, добровольно отказавшееся от доведения преступления до конца, подлежит уголовной ответственности в том случае, если фактически совершенное им деяние содержит иной состав преступления (ч. 3 ст. 13 Уголовного кодекса Российской Федерации).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Организатор преступления и подстрекатель к преступлению не подлежат уголовной ответственности, если эти лица своевременным сообщением органам власти или иными предпринятыми мерами предотвратили доведение преступления исполнителем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Пособник преступления не подлежит уголовной ответственности, если он предпринял все зависящие от него меры, чтобы предотвратить совершение преступления.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16440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30C1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2021-06-02T12:06:00Z</cp:lastPrinted>
  <dcterms:created xsi:type="dcterms:W3CDTF">2021-06-02T12:06:00Z</dcterms:created>
  <dcterms:modified xsi:type="dcterms:W3CDTF">2021-06-08T11:03:00Z</dcterms:modified>
</cp:coreProperties>
</file>